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E434" w14:textId="77777777" w:rsidR="00CF6D95" w:rsidRPr="00CF6D95" w:rsidRDefault="00CF6D95" w:rsidP="00CF6D95">
      <w:r w:rsidRPr="00CF6D95">
        <w:rPr>
          <w:b/>
          <w:bCs/>
        </w:rPr>
        <w:t>SH: Interior University Research Coalition welcomes provincial review of B.C.’s public post-secondary system </w:t>
      </w:r>
    </w:p>
    <w:p w14:paraId="79E886AA" w14:textId="524A7945" w:rsidR="00CF6D95" w:rsidRPr="00CF6D95" w:rsidRDefault="00CF6D95" w:rsidP="00CF6D95">
      <w:r w:rsidRPr="00CF6D95">
        <w:t>KAMLOOPS, PRINCE GEORGE, KELOWNA</w:t>
      </w:r>
      <w:r w:rsidRPr="00CF6D95">
        <w:rPr>
          <w:i/>
          <w:iCs/>
        </w:rPr>
        <w:t> — </w:t>
      </w:r>
      <w:r w:rsidRPr="00CF6D95">
        <w:t>The Interior University Research Coalition (IURC) — representing Thompson Rivers University (TRU), the University of Northern British Columbia (UNBC), and UBC Okanagan</w:t>
      </w:r>
      <w:r w:rsidR="00347AD2">
        <w:t xml:space="preserve"> </w:t>
      </w:r>
      <w:r w:rsidRPr="00CF6D95">
        <w:t>— welcomes the province’s independent review of the public post-secondary system, led by Don Avison, KC.</w:t>
      </w:r>
    </w:p>
    <w:p w14:paraId="688317A0" w14:textId="77777777" w:rsidR="00CF6D95" w:rsidRPr="00CF6D95" w:rsidRDefault="00CF6D95" w:rsidP="00CF6D95">
      <w:r w:rsidRPr="00CF6D95">
        <w:t>The review arrives at an important moment for the sector. Institutions are managing financial pressures tied to changing enrolment patterns and rising costs. At the same time, communities across the province continue to rely on universities for education, training, and research that support regional growth. The Interior universities share a commitment to strengthening B.C.’s post-secondary system so it remains accessible, responsive, and sustainable for the long term. </w:t>
      </w:r>
    </w:p>
    <w:p w14:paraId="082E3650" w14:textId="52EA17D3" w:rsidR="00CF6D95" w:rsidRPr="00CF6D95" w:rsidRDefault="00CF6D95" w:rsidP="00CF6D95">
      <w:r w:rsidRPr="00CF6D95">
        <w:t>The review will explore governance, sector organization, service delivery, program pathways, trades and apprenticeship training, and approaches to funding. The IURC institutions will approach these discussions with a focus on how Interior B</w:t>
      </w:r>
      <w:r>
        <w:t>.</w:t>
      </w:r>
      <w:r w:rsidRPr="00CF6D95">
        <w:t>C</w:t>
      </w:r>
      <w:r>
        <w:t>.</w:t>
      </w:r>
      <w:r w:rsidRPr="00CF6D95">
        <w:t xml:space="preserve"> can strengthen a province-wide post-secondary system.</w:t>
      </w:r>
    </w:p>
    <w:p w14:paraId="56DF3190" w14:textId="77777777" w:rsidR="00CF6D95" w:rsidRPr="00CF6D95" w:rsidRDefault="00CF6D95" w:rsidP="00CF6D95">
      <w:r w:rsidRPr="00CF6D95">
        <w:rPr>
          <w:b/>
          <w:bCs/>
        </w:rPr>
        <w:t>About the IURC</w:t>
      </w:r>
      <w:r w:rsidRPr="00CF6D95">
        <w:br/>
        <w:t>The IURC was formed to strengthen collaboration among TRU, UNBC, and UBC Okanagan. The three universities serve more than 40,000 students across the Interior and online, employ over 6,000 faculty and staff, generate more than $3.5 billion in annual economic impact for British Columbia, and advance research in climate resilience, resource sustainability, health innovation, rural equity, and Indigenous engagement. </w:t>
      </w:r>
    </w:p>
    <w:p w14:paraId="4B7D3BAD" w14:textId="77777777" w:rsidR="00CF6D95" w:rsidRPr="00CF6D95" w:rsidRDefault="00CF6D95" w:rsidP="00CF6D95">
      <w:r w:rsidRPr="00CF6D95">
        <w:t>The coalition advances shared approaches to research, training, and community partnerships that align with Interior priorities. Through this work, the IURC: </w:t>
      </w:r>
    </w:p>
    <w:p w14:paraId="1E6737F0" w14:textId="44EE4B68" w:rsidR="00CF6D95" w:rsidRPr="00CF6D95" w:rsidRDefault="00CF6D95" w:rsidP="00CF6D95">
      <w:pPr>
        <w:numPr>
          <w:ilvl w:val="0"/>
          <w:numId w:val="2"/>
        </w:numPr>
      </w:pPr>
      <w:r w:rsidRPr="00CF6D95">
        <w:t>Builds research capacity by drawing on each institution’s strengths, allowing the Interior to contribute knowledge that supports B.C.’s economy and public well-being. </w:t>
      </w:r>
    </w:p>
    <w:p w14:paraId="78D9AEBA" w14:textId="2F08F452" w:rsidR="00CF6D95" w:rsidRPr="00CF6D95" w:rsidRDefault="00CF6D95" w:rsidP="00CF6D95">
      <w:pPr>
        <w:numPr>
          <w:ilvl w:val="0"/>
          <w:numId w:val="2"/>
        </w:numPr>
      </w:pPr>
      <w:r w:rsidRPr="00CF6D95">
        <w:t>Takes on regional issues such as climate resilience, wildfire response, resource transitions, rural health, and community development. </w:t>
      </w:r>
    </w:p>
    <w:p w14:paraId="52110CC8" w14:textId="451A17DC" w:rsidR="00CF6D95" w:rsidRPr="00CF6D95" w:rsidRDefault="00CF6D95" w:rsidP="00CF6D95">
      <w:pPr>
        <w:numPr>
          <w:ilvl w:val="0"/>
          <w:numId w:val="2"/>
        </w:numPr>
      </w:pPr>
      <w:r w:rsidRPr="00CF6D95">
        <w:t>Works closely with Indigenous communities to support learning and research shaped by local knowledge and values. </w:t>
      </w:r>
    </w:p>
    <w:p w14:paraId="73242E31" w14:textId="72E7C20E" w:rsidR="00CF6D95" w:rsidRPr="00CF6D95" w:rsidRDefault="00CF6D95" w:rsidP="00CF6D95">
      <w:pPr>
        <w:numPr>
          <w:ilvl w:val="0"/>
          <w:numId w:val="2"/>
        </w:numPr>
      </w:pPr>
      <w:r w:rsidRPr="00CF6D95">
        <w:t>Partners with industry and government to link education and research with the needs of employers and communities. </w:t>
      </w:r>
    </w:p>
    <w:p w14:paraId="13B6DB04" w14:textId="77777777" w:rsidR="00CF6D95" w:rsidRPr="00CF6D95" w:rsidRDefault="00CF6D95" w:rsidP="00CF6D95">
      <w:r w:rsidRPr="00CF6D95">
        <w:t>Collaboration through the IURC ensures that ideas developed in the Interior inform broader provincial conversations. It also supports efficient use of resources, shared expertise, and coordinated approaches to some of the province’s most pressing challenges. </w:t>
      </w:r>
    </w:p>
    <w:p w14:paraId="562A6B5D" w14:textId="5ACE4E7E" w:rsidR="00CF6D95" w:rsidRDefault="00CF6D95" w:rsidP="00CF6D95">
      <w:r w:rsidRPr="00CF6D95">
        <w:rPr>
          <w:b/>
          <w:bCs/>
        </w:rPr>
        <w:t>Why the Interior matters</w:t>
      </w:r>
      <w:r w:rsidRPr="00CF6D95">
        <w:br/>
        <w:t>Interior British Columbia spans 670</w:t>
      </w:r>
      <w:r>
        <w:t>,</w:t>
      </w:r>
      <w:r w:rsidRPr="00CF6D95">
        <w:t>000</w:t>
      </w:r>
      <w:r>
        <w:t xml:space="preserve"> </w:t>
      </w:r>
      <w:r w:rsidRPr="00CF6D95">
        <w:t>sq</w:t>
      </w:r>
      <w:r>
        <w:t>uare</w:t>
      </w:r>
      <w:r w:rsidRPr="00CF6D95">
        <w:t xml:space="preserve"> kilometres of B</w:t>
      </w:r>
      <w:r>
        <w:t>.</w:t>
      </w:r>
      <w:r w:rsidRPr="00CF6D95">
        <w:t>C</w:t>
      </w:r>
      <w:r>
        <w:t>.</w:t>
      </w:r>
      <w:r w:rsidRPr="00CF6D95">
        <w:t>’s 9</w:t>
      </w:r>
      <w:r>
        <w:t>44,</w:t>
      </w:r>
      <w:r w:rsidRPr="00CF6D95">
        <w:t>000</w:t>
      </w:r>
      <w:r>
        <w:t xml:space="preserve"> </w:t>
      </w:r>
      <w:r w:rsidRPr="00CF6D95">
        <w:t>s</w:t>
      </w:r>
      <w:r>
        <w:t>quare</w:t>
      </w:r>
      <w:r w:rsidRPr="00CF6D95">
        <w:t xml:space="preserve"> </w:t>
      </w:r>
      <w:r>
        <w:t>kilometres —</w:t>
      </w:r>
      <w:r w:rsidRPr="00CF6D95">
        <w:t xml:space="preserve"> a </w:t>
      </w:r>
      <w:r>
        <w:lastRenderedPageBreak/>
        <w:t>vast</w:t>
      </w:r>
      <w:r w:rsidRPr="00CF6D95">
        <w:t xml:space="preserve"> geography that is home to diverse communities and resources contribut</w:t>
      </w:r>
      <w:r w:rsidR="00BC5651">
        <w:t>ing</w:t>
      </w:r>
      <w:r w:rsidRPr="00CF6D95">
        <w:t xml:space="preserve"> significantly to the province’s economic and social fabric. </w:t>
      </w:r>
    </w:p>
    <w:p w14:paraId="68FCD3AF" w14:textId="61FA30AE" w:rsidR="00CF6D95" w:rsidRPr="00CF6D95" w:rsidRDefault="00CF6D95" w:rsidP="00CF6D95">
      <w:r w:rsidRPr="00CF6D95">
        <w:t>The region supports forestry, mining, clean energy, agriculture, tourism, and emerging technology fields, all of which depend on a strong supply of graduates and applied research. Universities in the Interior help sustain these sectors by offering training that meets regional labour needs and by supporting innovation through research partnerships. </w:t>
      </w:r>
    </w:p>
    <w:p w14:paraId="4651D95C" w14:textId="7854ED56" w:rsidR="00CF6D95" w:rsidRPr="00CF6D95" w:rsidRDefault="00CF6D95" w:rsidP="00CF6D95">
      <w:r w:rsidRPr="00CF6D95">
        <w:t>The Interior is also home to rural and remote populations that rely on close-to-home learning opportunities. TRU, UNBC, and UBC Okanagan provide access to education through regional campuses, flexible delivery, and strong community connections. This work expands opportunities for learners and supports population stability across Interior B</w:t>
      </w:r>
      <w:r w:rsidR="00BC5651">
        <w:t>.</w:t>
      </w:r>
      <w:r w:rsidRPr="00CF6D95">
        <w:t>C.</w:t>
      </w:r>
    </w:p>
    <w:p w14:paraId="4DAAE929" w14:textId="77777777" w:rsidR="00424112" w:rsidRDefault="00424112"/>
    <w:sectPr w:rsidR="004241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1588"/>
    <w:multiLevelType w:val="multilevel"/>
    <w:tmpl w:val="6DC0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F31BF"/>
    <w:multiLevelType w:val="multilevel"/>
    <w:tmpl w:val="792A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758606">
    <w:abstractNumId w:val="0"/>
  </w:num>
  <w:num w:numId="2" w16cid:durableId="1349454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95"/>
    <w:rsid w:val="001675BC"/>
    <w:rsid w:val="00347AD2"/>
    <w:rsid w:val="003845E2"/>
    <w:rsid w:val="00424112"/>
    <w:rsid w:val="00506AED"/>
    <w:rsid w:val="00BC5651"/>
    <w:rsid w:val="00CF6D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3E4F2"/>
  <w15:chartTrackingRefBased/>
  <w15:docId w15:val="{E946B559-D2D8-4B1C-9425-6A82CA90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D95"/>
    <w:rPr>
      <w:rFonts w:eastAsiaTheme="majorEastAsia" w:cstheme="majorBidi"/>
      <w:color w:val="272727" w:themeColor="text1" w:themeTint="D8"/>
    </w:rPr>
  </w:style>
  <w:style w:type="paragraph" w:styleId="Title">
    <w:name w:val="Title"/>
    <w:basedOn w:val="Normal"/>
    <w:next w:val="Normal"/>
    <w:link w:val="TitleChar"/>
    <w:uiPriority w:val="10"/>
    <w:qFormat/>
    <w:rsid w:val="00CF6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D95"/>
    <w:pPr>
      <w:spacing w:before="160"/>
      <w:jc w:val="center"/>
    </w:pPr>
    <w:rPr>
      <w:i/>
      <w:iCs/>
      <w:color w:val="404040" w:themeColor="text1" w:themeTint="BF"/>
    </w:rPr>
  </w:style>
  <w:style w:type="character" w:customStyle="1" w:styleId="QuoteChar">
    <w:name w:val="Quote Char"/>
    <w:basedOn w:val="DefaultParagraphFont"/>
    <w:link w:val="Quote"/>
    <w:uiPriority w:val="29"/>
    <w:rsid w:val="00CF6D95"/>
    <w:rPr>
      <w:i/>
      <w:iCs/>
      <w:color w:val="404040" w:themeColor="text1" w:themeTint="BF"/>
    </w:rPr>
  </w:style>
  <w:style w:type="paragraph" w:styleId="ListParagraph">
    <w:name w:val="List Paragraph"/>
    <w:basedOn w:val="Normal"/>
    <w:uiPriority w:val="34"/>
    <w:qFormat/>
    <w:rsid w:val="00CF6D95"/>
    <w:pPr>
      <w:ind w:left="720"/>
      <w:contextualSpacing/>
    </w:pPr>
  </w:style>
  <w:style w:type="character" w:styleId="IntenseEmphasis">
    <w:name w:val="Intense Emphasis"/>
    <w:basedOn w:val="DefaultParagraphFont"/>
    <w:uiPriority w:val="21"/>
    <w:qFormat/>
    <w:rsid w:val="00CF6D95"/>
    <w:rPr>
      <w:i/>
      <w:iCs/>
      <w:color w:val="0F4761" w:themeColor="accent1" w:themeShade="BF"/>
    </w:rPr>
  </w:style>
  <w:style w:type="paragraph" w:styleId="IntenseQuote">
    <w:name w:val="Intense Quote"/>
    <w:basedOn w:val="Normal"/>
    <w:next w:val="Normal"/>
    <w:link w:val="IntenseQuoteChar"/>
    <w:uiPriority w:val="30"/>
    <w:qFormat/>
    <w:rsid w:val="00CF6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D95"/>
    <w:rPr>
      <w:i/>
      <w:iCs/>
      <w:color w:val="0F4761" w:themeColor="accent1" w:themeShade="BF"/>
    </w:rPr>
  </w:style>
  <w:style w:type="character" w:styleId="IntenseReference">
    <w:name w:val="Intense Reference"/>
    <w:basedOn w:val="DefaultParagraphFont"/>
    <w:uiPriority w:val="32"/>
    <w:qFormat/>
    <w:rsid w:val="00CF6D95"/>
    <w:rPr>
      <w:b/>
      <w:bCs/>
      <w:smallCaps/>
      <w:color w:val="0F4761" w:themeColor="accent1" w:themeShade="BF"/>
      <w:spacing w:val="5"/>
    </w:rPr>
  </w:style>
  <w:style w:type="character" w:styleId="Hyperlink">
    <w:name w:val="Hyperlink"/>
    <w:basedOn w:val="DefaultParagraphFont"/>
    <w:uiPriority w:val="99"/>
    <w:unhideWhenUsed/>
    <w:rsid w:val="00CF6D95"/>
    <w:rPr>
      <w:color w:val="467886" w:themeColor="hyperlink"/>
      <w:u w:val="single"/>
    </w:rPr>
  </w:style>
  <w:style w:type="character" w:styleId="UnresolvedMention">
    <w:name w:val="Unresolved Mention"/>
    <w:basedOn w:val="DefaultParagraphFont"/>
    <w:uiPriority w:val="99"/>
    <w:semiHidden/>
    <w:unhideWhenUsed/>
    <w:rsid w:val="00CF6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481</Words>
  <Characters>3039</Characters>
  <Application>Microsoft Office Word</Application>
  <DocSecurity>0</DocSecurity>
  <Lines>47</Lines>
  <Paragraphs>14</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Koopmans</dc:creator>
  <cp:keywords/>
  <dc:description/>
  <cp:lastModifiedBy>Robert Koopmans</cp:lastModifiedBy>
  <cp:revision>5</cp:revision>
  <dcterms:created xsi:type="dcterms:W3CDTF">2025-11-25T17:12:00Z</dcterms:created>
  <dcterms:modified xsi:type="dcterms:W3CDTF">2025-11-26T22:32:00Z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fad1c4fa-8155-4e89-a87d-e86b618b43d2</vt:lpwstr>
  </property>
</Properties>
</file>